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47" w:rsidRDefault="00B25247" w:rsidP="00B2524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5247" w:rsidRDefault="00B25247" w:rsidP="00B25247">
      <w:pPr>
        <w:pStyle w:val="ConsPlusNormal"/>
        <w:jc w:val="both"/>
        <w:outlineLvl w:val="0"/>
      </w:pPr>
    </w:p>
    <w:p w:rsidR="00B25247" w:rsidRDefault="00B25247" w:rsidP="00B25247">
      <w:pPr>
        <w:pStyle w:val="ConsPlusTitle"/>
        <w:jc w:val="center"/>
        <w:outlineLvl w:val="0"/>
      </w:pPr>
      <w:r>
        <w:t>ПРАВИТЕЛЬСТВО КИРОВСКОЙ ОБЛАСТИ</w:t>
      </w:r>
    </w:p>
    <w:p w:rsidR="00B25247" w:rsidRDefault="00B25247" w:rsidP="00B25247">
      <w:pPr>
        <w:pStyle w:val="ConsPlusTitle"/>
        <w:jc w:val="center"/>
      </w:pPr>
    </w:p>
    <w:p w:rsidR="00B25247" w:rsidRDefault="00B25247" w:rsidP="00B25247">
      <w:pPr>
        <w:pStyle w:val="ConsPlusTitle"/>
        <w:jc w:val="center"/>
      </w:pPr>
      <w:r>
        <w:t>ПОСТАНОВЛЕНИЕ</w:t>
      </w:r>
    </w:p>
    <w:p w:rsidR="00B25247" w:rsidRDefault="00B25247" w:rsidP="00B25247">
      <w:pPr>
        <w:pStyle w:val="ConsPlusTitle"/>
        <w:jc w:val="center"/>
      </w:pPr>
      <w:r>
        <w:t>от 4 октября 2011 г. N 122/484</w:t>
      </w:r>
    </w:p>
    <w:p w:rsidR="00B25247" w:rsidRDefault="00B25247" w:rsidP="00B25247">
      <w:pPr>
        <w:pStyle w:val="ConsPlusTitle"/>
        <w:jc w:val="center"/>
      </w:pPr>
    </w:p>
    <w:p w:rsidR="00B25247" w:rsidRDefault="00B25247" w:rsidP="00B25247">
      <w:pPr>
        <w:pStyle w:val="ConsPlusTitle"/>
        <w:jc w:val="center"/>
      </w:pPr>
      <w:r>
        <w:t>О СОЗДАНИИ И ПОДДЕРЖАНИИ В ПОСТОЯННОЙ ГОТОВНОСТИ</w:t>
      </w:r>
    </w:p>
    <w:p w:rsidR="00B25247" w:rsidRDefault="00B25247" w:rsidP="00B25247">
      <w:pPr>
        <w:pStyle w:val="ConsPlusTitle"/>
        <w:jc w:val="center"/>
      </w:pPr>
      <w:r>
        <w:t>К ИСПОЛЬЗОВАНИЮ ТЕХНИЧЕСКИХ СИСТЕМ УПРАВЛЕНИЯ</w:t>
      </w:r>
    </w:p>
    <w:p w:rsidR="00B25247" w:rsidRDefault="00B25247" w:rsidP="00B25247">
      <w:pPr>
        <w:pStyle w:val="ConsPlusTitle"/>
        <w:jc w:val="center"/>
      </w:pPr>
      <w:r>
        <w:t>И ОБЪЕКТОВ ГРАЖДАНСКОЙ ОБОРОНЫ КИРОВСКОЙ ОБЛАСТИ</w:t>
      </w:r>
    </w:p>
    <w:p w:rsidR="00B25247" w:rsidRDefault="00B25247" w:rsidP="00B25247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5247" w:rsidTr="006B77C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25247" w:rsidRDefault="00B25247" w:rsidP="006B77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5247" w:rsidRDefault="00B25247" w:rsidP="006B77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B25247" w:rsidRDefault="00B25247" w:rsidP="006B77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5" w:history="1">
              <w:r>
                <w:rPr>
                  <w:color w:val="0000FF"/>
                </w:rPr>
                <w:t>N 75/845</w:t>
              </w:r>
            </w:hyperlink>
            <w:r>
              <w:rPr>
                <w:color w:val="392C69"/>
              </w:rPr>
              <w:t xml:space="preserve">, от 22.05.2018 </w:t>
            </w:r>
            <w:hyperlink r:id="rId6" w:history="1">
              <w:r>
                <w:rPr>
                  <w:color w:val="0000FF"/>
                </w:rPr>
                <w:t>N 252-П</w:t>
              </w:r>
            </w:hyperlink>
            <w:r>
              <w:rPr>
                <w:color w:val="392C69"/>
              </w:rPr>
              <w:t xml:space="preserve">, от 06.11.2020 </w:t>
            </w:r>
            <w:hyperlink r:id="rId7" w:history="1">
              <w:r>
                <w:rPr>
                  <w:color w:val="0000FF"/>
                </w:rPr>
                <w:t>N 598-П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5247" w:rsidRDefault="00B25247" w:rsidP="00B25247">
      <w:pPr>
        <w:pStyle w:val="ConsPlusNormal"/>
        <w:jc w:val="both"/>
      </w:pPr>
    </w:p>
    <w:p w:rsidR="00B25247" w:rsidRDefault="00B25247" w:rsidP="00B25247">
      <w:pPr>
        <w:pStyle w:val="ConsPlusNormal"/>
        <w:ind w:firstLine="540"/>
        <w:jc w:val="both"/>
      </w:pPr>
      <w:proofErr w:type="gramStart"/>
      <w:r>
        <w:t xml:space="preserve">В соответствии с требованиями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12.02.1998 N 28-ФЗ "О гражданской обороне",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29.11.1999 N 1309 "О Порядке создания убежищ и иных объектов гражданской обороны",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12.11.2015 N 260 "Об утверждении Положения об организации и ведении гражданской обороны в Кировской области" и в целях создания и поддержания в постоянной готовности к</w:t>
      </w:r>
      <w:proofErr w:type="gramEnd"/>
      <w:r>
        <w:t xml:space="preserve"> использованию технических систем управления и объектов гражданской обороны Кировской области Правительство Кировской области постановляет:</w:t>
      </w:r>
    </w:p>
    <w:p w:rsidR="00B25247" w:rsidRDefault="00B25247" w:rsidP="00B25247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22.12.2015 N 75/845)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технических системах управления и объектах гражданской обороны Кировской области. Прилагается.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 xml:space="preserve">2 - 3. Исключены.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22.05.2018 N 252-П.</w:t>
      </w:r>
    </w:p>
    <w:p w:rsidR="00B25247" w:rsidRDefault="00B25247" w:rsidP="00B25247">
      <w:pPr>
        <w:pStyle w:val="ConsPlusNormal"/>
        <w:jc w:val="both"/>
      </w:pPr>
    </w:p>
    <w:p w:rsidR="00B25247" w:rsidRDefault="00B25247" w:rsidP="00B25247">
      <w:pPr>
        <w:pStyle w:val="ConsPlusNormal"/>
        <w:jc w:val="right"/>
      </w:pPr>
      <w:r>
        <w:t>Губернатор -</w:t>
      </w:r>
    </w:p>
    <w:p w:rsidR="00B25247" w:rsidRDefault="00B25247" w:rsidP="00B25247">
      <w:pPr>
        <w:pStyle w:val="ConsPlusNormal"/>
        <w:jc w:val="right"/>
      </w:pPr>
      <w:r>
        <w:t>Председатель Правительства</w:t>
      </w:r>
    </w:p>
    <w:p w:rsidR="00B25247" w:rsidRDefault="00B25247" w:rsidP="00B25247">
      <w:pPr>
        <w:pStyle w:val="ConsPlusNormal"/>
        <w:jc w:val="right"/>
      </w:pPr>
      <w:r>
        <w:t>Кировской области</w:t>
      </w:r>
    </w:p>
    <w:p w:rsidR="00B25247" w:rsidRDefault="00B25247" w:rsidP="00B25247">
      <w:pPr>
        <w:pStyle w:val="ConsPlusNormal"/>
        <w:jc w:val="right"/>
      </w:pPr>
      <w:r>
        <w:t>Н.Ю.БЕЛЫХ</w:t>
      </w:r>
    </w:p>
    <w:p w:rsidR="00B25247" w:rsidRDefault="00B25247" w:rsidP="00B25247">
      <w:pPr>
        <w:pStyle w:val="ConsPlusNormal"/>
        <w:jc w:val="both"/>
      </w:pPr>
    </w:p>
    <w:p w:rsidR="00B25247" w:rsidRDefault="00B25247" w:rsidP="00B25247">
      <w:pPr>
        <w:pStyle w:val="ConsPlusNormal"/>
        <w:jc w:val="both"/>
      </w:pPr>
    </w:p>
    <w:p w:rsidR="00B25247" w:rsidRDefault="00B25247" w:rsidP="00B25247">
      <w:pPr>
        <w:pStyle w:val="ConsPlusNormal"/>
        <w:jc w:val="both"/>
      </w:pPr>
    </w:p>
    <w:p w:rsidR="00B25247" w:rsidRDefault="00B25247" w:rsidP="00B25247">
      <w:pPr>
        <w:pStyle w:val="ConsPlusNormal"/>
        <w:jc w:val="both"/>
      </w:pPr>
    </w:p>
    <w:p w:rsidR="00B25247" w:rsidRDefault="00B25247" w:rsidP="00B25247">
      <w:pPr>
        <w:pStyle w:val="ConsPlusNormal"/>
        <w:jc w:val="both"/>
      </w:pPr>
    </w:p>
    <w:p w:rsidR="00B25247" w:rsidRDefault="00B25247" w:rsidP="00B25247">
      <w:pPr>
        <w:pStyle w:val="ConsPlusNormal"/>
        <w:jc w:val="right"/>
        <w:outlineLvl w:val="0"/>
      </w:pPr>
      <w:r>
        <w:t>Утверждено</w:t>
      </w:r>
    </w:p>
    <w:p w:rsidR="00B25247" w:rsidRDefault="00B25247" w:rsidP="00B25247">
      <w:pPr>
        <w:pStyle w:val="ConsPlusNormal"/>
        <w:jc w:val="right"/>
      </w:pPr>
      <w:r>
        <w:t>постановлением</w:t>
      </w:r>
    </w:p>
    <w:p w:rsidR="00B25247" w:rsidRDefault="00B25247" w:rsidP="00B25247">
      <w:pPr>
        <w:pStyle w:val="ConsPlusNormal"/>
        <w:jc w:val="right"/>
      </w:pPr>
      <w:r>
        <w:t>Правительства области</w:t>
      </w:r>
    </w:p>
    <w:p w:rsidR="00B25247" w:rsidRDefault="00B25247" w:rsidP="00B25247">
      <w:pPr>
        <w:pStyle w:val="ConsPlusNormal"/>
        <w:jc w:val="right"/>
      </w:pPr>
      <w:r>
        <w:t>от 4 октября 2011 г. N 122/484</w:t>
      </w:r>
    </w:p>
    <w:p w:rsidR="00B25247" w:rsidRDefault="00B25247" w:rsidP="00B25247">
      <w:pPr>
        <w:pStyle w:val="ConsPlusNormal"/>
        <w:jc w:val="both"/>
      </w:pPr>
    </w:p>
    <w:p w:rsidR="00B25247" w:rsidRDefault="00B25247" w:rsidP="00B25247">
      <w:pPr>
        <w:pStyle w:val="ConsPlusTitle"/>
        <w:jc w:val="center"/>
      </w:pPr>
      <w:bookmarkStart w:id="0" w:name="P32"/>
      <w:bookmarkEnd w:id="0"/>
      <w:r>
        <w:t>ПОЛОЖЕНИЕ</w:t>
      </w:r>
    </w:p>
    <w:p w:rsidR="00B25247" w:rsidRDefault="00B25247" w:rsidP="00B25247">
      <w:pPr>
        <w:pStyle w:val="ConsPlusTitle"/>
        <w:jc w:val="center"/>
      </w:pPr>
      <w:r>
        <w:t>О ТЕХНИЧЕСКИХ СИСТЕМАХ УПРАВЛЕНИЯ И ОБЪЕКТАХ</w:t>
      </w:r>
    </w:p>
    <w:p w:rsidR="00B25247" w:rsidRDefault="00B25247" w:rsidP="00B25247">
      <w:pPr>
        <w:pStyle w:val="ConsPlusTitle"/>
        <w:jc w:val="center"/>
      </w:pPr>
      <w:r>
        <w:t>ГРАЖДАНСКОЙ ОБОРОНЫ КИРОВСКОЙ ОБЛАСТИ</w:t>
      </w:r>
    </w:p>
    <w:p w:rsidR="00B25247" w:rsidRDefault="00B25247" w:rsidP="00B25247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5247" w:rsidTr="006B77C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25247" w:rsidRDefault="00B25247" w:rsidP="006B77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5247" w:rsidRDefault="00B25247" w:rsidP="006B77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B25247" w:rsidRDefault="00B25247" w:rsidP="006B77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13" w:history="1">
              <w:r>
                <w:rPr>
                  <w:color w:val="0000FF"/>
                </w:rPr>
                <w:t>N 75/845</w:t>
              </w:r>
            </w:hyperlink>
            <w:r>
              <w:rPr>
                <w:color w:val="392C69"/>
              </w:rPr>
              <w:t xml:space="preserve">, от 06.11.2020 </w:t>
            </w:r>
            <w:hyperlink r:id="rId14" w:history="1">
              <w:r>
                <w:rPr>
                  <w:color w:val="0000FF"/>
                </w:rPr>
                <w:t>N 598-П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5247" w:rsidRDefault="00B25247" w:rsidP="00B25247">
      <w:pPr>
        <w:pStyle w:val="ConsPlusNormal"/>
        <w:jc w:val="both"/>
      </w:pPr>
    </w:p>
    <w:p w:rsidR="00B25247" w:rsidRDefault="00B25247" w:rsidP="00B25247">
      <w:pPr>
        <w:pStyle w:val="ConsPlusNormal"/>
        <w:ind w:firstLine="540"/>
        <w:jc w:val="both"/>
      </w:pPr>
      <w:r>
        <w:lastRenderedPageBreak/>
        <w:t>Положение о технических системах управления и объектах гражданской обороны Кировской области определяет состав технических систем управления и объектов гражданской обороны Кировской области и порядок их создания.</w:t>
      </w:r>
    </w:p>
    <w:p w:rsidR="00B25247" w:rsidRDefault="00B25247" w:rsidP="00B25247">
      <w:pPr>
        <w:pStyle w:val="ConsPlusNormal"/>
        <w:jc w:val="both"/>
      </w:pPr>
    </w:p>
    <w:p w:rsidR="00B25247" w:rsidRDefault="00B25247" w:rsidP="00B25247">
      <w:pPr>
        <w:pStyle w:val="ConsPlusTitle"/>
        <w:jc w:val="center"/>
        <w:outlineLvl w:val="1"/>
      </w:pPr>
      <w:r>
        <w:t>1. Технические системы управления гражданской обороной</w:t>
      </w:r>
    </w:p>
    <w:p w:rsidR="00B25247" w:rsidRDefault="00B25247" w:rsidP="00B25247">
      <w:pPr>
        <w:pStyle w:val="ConsPlusNormal"/>
        <w:jc w:val="both"/>
      </w:pPr>
    </w:p>
    <w:p w:rsidR="00B25247" w:rsidRDefault="00B25247" w:rsidP="00B25247">
      <w:pPr>
        <w:pStyle w:val="ConsPlusNormal"/>
        <w:ind w:firstLine="540"/>
        <w:jc w:val="both"/>
      </w:pPr>
      <w:r>
        <w:t>1.1. Технические системы управления гражданской обороной представляют собой совокупность устройств, обеспечивающих: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функционирование органов управления гражданской обороной Кировской области и ее территориальных образований, а также организаций;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перевод системы гражданской обороны в высшие степени готовности;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оповещение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B25247" w:rsidRDefault="00B25247" w:rsidP="00B2524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22.12.2015 N 75/845)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Технические системы управления гражданской обороной включают в себя: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пункты управления гражданской обороной, в том числе подвижные;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средства управления пунктов управления гражданской обороной;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средства оповещения органов управления гражданской обороной и населения;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средства связи.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1.2. К средствам управления пунктов управления гражданской обороной относятся: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1.2.1. Средства сбора, обработки и передачи информации, включающие в себя: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серверы, персональные электронно-вычислительные машины и вычислительные комплексы;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аппаратуру, обеспечивающую обмен информацией между электронно-вычислительными машинами.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Указанные средства обеспечивают: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прием, обработку и подготовку к использованию данных об обстановке;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прогнозирование обстановки;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программное обеспечение обработки и хранения информации и принятия решения;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обоснование принимаемых решений;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передачу информации об обстановке на подчиненные пункты управления.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1.2.2. Средства отображения информации, включающие в себя: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мониторы персональных электронно-вычислительных машин;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проекционные экраны и мониторы с большим разрешением;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планшеты возможной обстановки;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lastRenderedPageBreak/>
        <w:t>световые табло;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карты, графики, схемы.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Указанные средства обеспечивают наглядное представление необходимой информации о: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proofErr w:type="gramStart"/>
      <w:r>
        <w:t>действиях</w:t>
      </w:r>
      <w:proofErr w:type="gramEnd"/>
      <w:r>
        <w:t xml:space="preserve"> противника;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 xml:space="preserve">возникших чрезвычайных </w:t>
      </w:r>
      <w:proofErr w:type="gramStart"/>
      <w:r>
        <w:t>ситуациях</w:t>
      </w:r>
      <w:proofErr w:type="gramEnd"/>
      <w:r>
        <w:t xml:space="preserve"> и прогнозировании их развития;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радиационной и химической обстановке;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proofErr w:type="gramStart"/>
      <w:r>
        <w:t>состоянии</w:t>
      </w:r>
      <w:proofErr w:type="gramEnd"/>
      <w:r>
        <w:t xml:space="preserve"> объектов экономики, коммуникаций, линий электропередачи и т.д.;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группировке, состоянии и действиях сил и сре</w:t>
      </w:r>
      <w:proofErr w:type="gramStart"/>
      <w:r>
        <w:t>дств гр</w:t>
      </w:r>
      <w:proofErr w:type="gramEnd"/>
      <w:r>
        <w:t>ажданской обороны;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proofErr w:type="gramStart"/>
      <w:r>
        <w:t>состоянии</w:t>
      </w:r>
      <w:proofErr w:type="gramEnd"/>
      <w:r>
        <w:t xml:space="preserve"> защиты населения,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1.2.3. Оборудование рабочих мест должностных лиц органов управления гражданской обороной, включающее в себя: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оконечные устройства сре</w:t>
      </w:r>
      <w:proofErr w:type="gramStart"/>
      <w:r>
        <w:t>дств св</w:t>
      </w:r>
      <w:proofErr w:type="gramEnd"/>
      <w:r>
        <w:t>язи;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пульты управления средствами отображения и документирования информации, средствами связи, а также системами обеспечения жизнедеятельности пунктов управления.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Указанные средства обеспечивают возможность выполнения должностными лицами функциональных обязанностей,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1.2.4. Средства документирования информации: компьютеры, диктофоны, магнитофоны, фотоаппараты и видеокамеры.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Указанные средства обеспечивают запись и воспроизведение информации, проходящей по оперативно-командным каналам связи.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1.3. Средства оповещения органов управления гражданской обороной и населения включают в себя: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оборудование управления системами оповещения;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аппаратуру передачи сигналов по междугородным каналам связи, линии и каналы связи;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стойки циркулярного вызова;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внешние акустические устройства;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электрические сирены;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громкоговорители;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средства телеграфной сети связи;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радиотрансляционные узлы.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Указанные средства оповещения обеспечивают: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доведение до органов управления гражданской обороной сигналов о переводе гражданской обороны в высшие степени готовности;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lastRenderedPageBreak/>
        <w:t>циркулярное оповещение по телефонам должностных лиц;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передачу населению сигналов оповещения и информации об обстановке.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1.4. Средства связи гражданской обороны включают в себя: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междугородные каналы сети связи общего пользования;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каналообразующее оборудование;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коротковолновые и ультракоротковолновые радиосети;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спутниковые каналы связи;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оконечные устройства связи;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резерв сре</w:t>
      </w:r>
      <w:proofErr w:type="gramStart"/>
      <w:r>
        <w:t>дств св</w:t>
      </w:r>
      <w:proofErr w:type="gramEnd"/>
      <w:r>
        <w:t>язи.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Средства связи гражданской обороны обеспечивают: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непрерывное управление силами и средствами гражданской обороны;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постоянное взаимодействие органов управления гражданской обороной между собой, с органами военного командования и территориальными органами управления отраслями экономики;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своевременное доведение до органов управления гражданской обороной и формирований гражданской обороны, а также населения сигналов гражданской обороны.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1.5. Определение состава и подготовка к использованию технических систем управления осуществляются в соответствии с планами гражданской обороны Кировской области и ее муниципальных образований. Перечень и количество необходимых средств устанавливаются исходя из условий обеспечения нормального функционирования соответствующих органов управления гражданской обороной и выполнения требуемых функций управления силами и средствами гражданской обороны.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1.6. При создании технических систем управления необходимо предусматривать их организационное, техническое и программное сопряжение с территориальной подсистемой управления Единой государственной системы предупреждения и ликвидации чрезвычайных ситуаций.</w:t>
      </w:r>
    </w:p>
    <w:p w:rsidR="00B25247" w:rsidRDefault="00B25247" w:rsidP="00B25247">
      <w:pPr>
        <w:pStyle w:val="ConsPlusNormal"/>
        <w:jc w:val="both"/>
      </w:pPr>
    </w:p>
    <w:p w:rsidR="00B25247" w:rsidRDefault="00B25247" w:rsidP="00B25247">
      <w:pPr>
        <w:pStyle w:val="ConsPlusTitle"/>
        <w:jc w:val="center"/>
        <w:outlineLvl w:val="1"/>
      </w:pPr>
      <w:r>
        <w:t>2. Объекты гражданской обороны</w:t>
      </w:r>
    </w:p>
    <w:p w:rsidR="00B25247" w:rsidRDefault="00B25247" w:rsidP="00B25247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B25247" w:rsidRDefault="00B25247" w:rsidP="00B25247">
      <w:pPr>
        <w:pStyle w:val="ConsPlusNormal"/>
        <w:jc w:val="center"/>
      </w:pPr>
      <w:r>
        <w:t>от 22.12.2015 N 75/845)</w:t>
      </w:r>
    </w:p>
    <w:p w:rsidR="00B25247" w:rsidRDefault="00B25247" w:rsidP="00B25247">
      <w:pPr>
        <w:pStyle w:val="ConsPlusNormal"/>
        <w:jc w:val="both"/>
      </w:pPr>
    </w:p>
    <w:p w:rsidR="00B25247" w:rsidRDefault="00B25247" w:rsidP="00B25247">
      <w:pPr>
        <w:pStyle w:val="ConsPlusNormal"/>
        <w:ind w:firstLine="540"/>
        <w:jc w:val="both"/>
      </w:pPr>
      <w:r>
        <w:t xml:space="preserve">2.1. </w:t>
      </w:r>
      <w:proofErr w:type="gramStart"/>
      <w:r>
        <w:t>К объектам гражданской обороны относятся убежища, противорадиационные укрытия, укрытия, специализированные складские помещения (места хранения), санитарно-обмывочные пункты, станции обеззараживания одежды, станции обеззараживания техники, а также иные объекты гражданской обороны, предназначенные для обеспечения проведения мероприятий по гражданской обороне, в том числе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</w:t>
      </w:r>
      <w:proofErr w:type="gramEnd"/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 xml:space="preserve">2.2. Убежища создаются для максимальной по </w:t>
      </w:r>
      <w:proofErr w:type="gramStart"/>
      <w:r>
        <w:t>численности</w:t>
      </w:r>
      <w:proofErr w:type="gramEnd"/>
      <w:r>
        <w:t xml:space="preserve"> работающей в военное время смены работников организации, имеющей мобилизационное задание (заказ) (далее - наибольшая работающая смена организации) и отнесенной к категории особой важности по </w:t>
      </w:r>
      <w:r>
        <w:lastRenderedPageBreak/>
        <w:t>гражданской обороне, независимо от места ее расположения, а также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обороне, за исключением медицинского персонала, обслуживающего нетранспортабельных больных.</w:t>
      </w:r>
    </w:p>
    <w:p w:rsidR="00B25247" w:rsidRDefault="00B25247" w:rsidP="00B25247">
      <w:pPr>
        <w:pStyle w:val="ConsPlusNormal"/>
        <w:jc w:val="both"/>
      </w:pPr>
      <w:r>
        <w:t xml:space="preserve">(п. 2.2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06.11.2020 N 598-П)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2.3. Противорадиационные укрытия создаются: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B25247" w:rsidRDefault="00B25247" w:rsidP="00B25247">
      <w:pPr>
        <w:pStyle w:val="ConsPlusNormal"/>
        <w:jc w:val="both"/>
      </w:pPr>
      <w:r>
        <w:t xml:space="preserve">(п. 2.3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06.11.2020 N 598-П)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2.4. Укрытия создаются: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B25247" w:rsidRDefault="00B25247" w:rsidP="00B25247">
      <w:pPr>
        <w:pStyle w:val="ConsPlusNormal"/>
        <w:jc w:val="both"/>
      </w:pPr>
      <w:r>
        <w:t xml:space="preserve">(п. 2.4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06.11.2020 N 598-П)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2.5. Для укрытия населения 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пространства.</w:t>
      </w:r>
    </w:p>
    <w:p w:rsidR="00B25247" w:rsidRDefault="00B25247" w:rsidP="00B252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06.11.2020 N 598-П)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2.6.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2.7. Специализированные складские помещения (места хранения) создаются для хранения средств индивидуальной и медицинской защиты, приборов радиационной и химической разведки, радиационного контроля и другого имущества гражданской обороны.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2.8. Санитарно-обмывочные пункты, станции обеззараживания одежды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2.9. Создание объектов гражданской обороны в мирное время осуществляется на основании плана, разрабатываемого администрацией Губернатора и Правительства Кировской области и согласованного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B25247" w:rsidRDefault="00B25247" w:rsidP="00B252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06.11.2020 N 598-П)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lastRenderedPageBreak/>
        <w:t>2.10. Создание объектов гражданской обороны в период мобилизации и в военное время осуществляется в соответствии с планами гражданской обороны и защиты населения Кировской области, муниципальных образований и планами гражданской обороны организаций.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2.11. 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строительства этих объектов.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B25247" w:rsidRDefault="00B25247" w:rsidP="00B25247">
      <w:pPr>
        <w:pStyle w:val="ConsPlusNormal"/>
        <w:jc w:val="both"/>
      </w:pPr>
    </w:p>
    <w:p w:rsidR="00B25247" w:rsidRDefault="00B25247" w:rsidP="00B25247">
      <w:pPr>
        <w:pStyle w:val="ConsPlusTitle"/>
        <w:jc w:val="center"/>
        <w:outlineLvl w:val="1"/>
      </w:pPr>
      <w:r>
        <w:t>3. Мероприятия, выполняемые в целях создания и поддержания</w:t>
      </w:r>
    </w:p>
    <w:p w:rsidR="00B25247" w:rsidRDefault="00B25247" w:rsidP="00B25247">
      <w:pPr>
        <w:pStyle w:val="ConsPlusTitle"/>
        <w:jc w:val="center"/>
      </w:pPr>
      <w:r>
        <w:t>в готовности технических систем управления</w:t>
      </w:r>
    </w:p>
    <w:p w:rsidR="00B25247" w:rsidRDefault="00B25247" w:rsidP="00B25247">
      <w:pPr>
        <w:pStyle w:val="ConsPlusTitle"/>
        <w:jc w:val="center"/>
      </w:pPr>
      <w:r>
        <w:t>и объектов гражданской обороны</w:t>
      </w:r>
    </w:p>
    <w:p w:rsidR="00B25247" w:rsidRDefault="00B25247" w:rsidP="00B25247">
      <w:pPr>
        <w:pStyle w:val="ConsPlusNormal"/>
        <w:jc w:val="both"/>
      </w:pPr>
    </w:p>
    <w:p w:rsidR="00B25247" w:rsidRDefault="00B25247" w:rsidP="00B25247">
      <w:pPr>
        <w:pStyle w:val="ConsPlusNormal"/>
        <w:ind w:firstLine="540"/>
        <w:jc w:val="both"/>
      </w:pPr>
      <w:r>
        <w:t>3.1. Правительство Кировской области осуществляет: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определение потребности в технических системах управления и объектах гражданской обороны;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согласование создания технических систем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создание в мирное время технических систем управления и объектов гражданской обороны, поддержание их в состоянии постоянной готовности к использованию, а также сохранение существующих объектов гражданской обороны;</w:t>
      </w:r>
    </w:p>
    <w:p w:rsidR="00B25247" w:rsidRDefault="00B25247" w:rsidP="00B2524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22.12.2015 N 75/845)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созданием и поддержанием в готовности к использованию технических систем управления и объектов гражданской обороны в подведомственных организациях;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учет существующих и создаваемых объектов гражданской обороны;</w:t>
      </w:r>
    </w:p>
    <w:p w:rsidR="00B25247" w:rsidRDefault="00B25247" w:rsidP="00B25247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22.12.2015 N 75/845)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22.12.2015 N 75/845;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 xml:space="preserve">проведение тренировок по использованию технических систем управления и объектов гражданской обороны при выполнении мероприятий гражданской </w:t>
      </w:r>
      <w:proofErr w:type="gramStart"/>
      <w:r>
        <w:t>обороны</w:t>
      </w:r>
      <w:proofErr w:type="gramEnd"/>
      <w:r>
        <w:t xml:space="preserve"> в ходе планируемых и проводимых командно-штабных учений;</w:t>
      </w:r>
    </w:p>
    <w:p w:rsidR="00B25247" w:rsidRDefault="00B25247" w:rsidP="00B2524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22.12.2015 N 75/845)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ежегодное представление сведений о наличии и ходе создания технических систем управления и объектов гражданской обороны в докладах о состоянии гражданской обороны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области.</w:t>
      </w:r>
    </w:p>
    <w:p w:rsidR="00B25247" w:rsidRDefault="00B25247" w:rsidP="00B25247">
      <w:pPr>
        <w:pStyle w:val="ConsPlusNormal"/>
        <w:spacing w:before="220"/>
        <w:ind w:firstLine="540"/>
        <w:jc w:val="both"/>
      </w:pPr>
      <w:r>
        <w:t>3.2. Органы местного самоуправления и организации осуществляют мероприятия по созданию и поддержанию в состоянии постоянной готовности к использованию объектов гражданской обороны в соответствии с действующим законодательством.</w:t>
      </w:r>
    </w:p>
    <w:p w:rsidR="00B25247" w:rsidRDefault="00B25247" w:rsidP="00B252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22.12.2015 N 75/845)</w:t>
      </w:r>
    </w:p>
    <w:p w:rsidR="00B25247" w:rsidRDefault="00B25247" w:rsidP="00B25247">
      <w:pPr>
        <w:pStyle w:val="ConsPlusNormal"/>
        <w:jc w:val="both"/>
      </w:pPr>
    </w:p>
    <w:p w:rsidR="00B25247" w:rsidRDefault="00B25247" w:rsidP="00B25247">
      <w:pPr>
        <w:pStyle w:val="ConsPlusNormal"/>
        <w:jc w:val="both"/>
      </w:pPr>
    </w:p>
    <w:p w:rsidR="00B25247" w:rsidRDefault="00B25247" w:rsidP="00B252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71E5" w:rsidRDefault="000F71E5"/>
    <w:sectPr w:rsidR="000F71E5" w:rsidSect="0061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5247"/>
    <w:rsid w:val="000F71E5"/>
    <w:rsid w:val="00B2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52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B399F83DD9D3FF3AE4BBD34A68EAB23ABB508BDF4C5CB915EFD5C2F99EE9B30F34DFE55998AD068FD8A0546B4E2AAF4A6752347DqBH" TargetMode="External"/><Relationship Id="rId13" Type="http://schemas.openxmlformats.org/officeDocument/2006/relationships/hyperlink" Target="consultantplus://offline/ref=1CB399F83DD9D3FF3AE4A5DE5C04B6BB39B70E85DB4E57EC49BFD395A6CEEFE64F74D9B81FD7F456CB8DAD55615B7EFB10305F37D86DE8C934BE6DA375q8H" TargetMode="External"/><Relationship Id="rId18" Type="http://schemas.openxmlformats.org/officeDocument/2006/relationships/hyperlink" Target="consultantplus://offline/ref=1CB399F83DD9D3FF3AE4A5DE5C04B6BB39B70E85DB4854EA49BDD395A6CEEFE64F74D9B81FD7F456CB8DAD55615B7EFB10305F37D86DE8C934BE6DA375q8H" TargetMode="External"/><Relationship Id="rId26" Type="http://schemas.openxmlformats.org/officeDocument/2006/relationships/hyperlink" Target="consultantplus://offline/ref=1CB399F83DD9D3FF3AE4A5DE5C04B6BB39B70E85DB4E57EC49BFD395A6CEEFE64F74D9B81FD7F456CB8DAD516B5B7EFB10305F37D86DE8C934BE6DA375q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B399F83DD9D3FF3AE4A5DE5C04B6BB39B70E85DB4854EA49BDD395A6CEEFE64F74D9B81FD7F456CB8DAD546C5B7EFB10305F37D86DE8C934BE6DA375q8H" TargetMode="External"/><Relationship Id="rId7" Type="http://schemas.openxmlformats.org/officeDocument/2006/relationships/hyperlink" Target="consultantplus://offline/ref=1CB399F83DD9D3FF3AE4A5DE5C04B6BB39B70E85DB4854EA49BDD395A6CEEFE64F74D9B81FD7F456CB8DAD556C5B7EFB10305F37D86DE8C934BE6DA375q8H" TargetMode="External"/><Relationship Id="rId12" Type="http://schemas.openxmlformats.org/officeDocument/2006/relationships/hyperlink" Target="consultantplus://offline/ref=1CB399F83DD9D3FF3AE4A5DE5C04B6BB39B70E85DB4B50E849BDD395A6CEEFE64F74D9B81FD7F456CB8DAD54685B7EFB10305F37D86DE8C934BE6DA375q8H" TargetMode="External"/><Relationship Id="rId17" Type="http://schemas.openxmlformats.org/officeDocument/2006/relationships/hyperlink" Target="consultantplus://offline/ref=1CB399F83DD9D3FF3AE4A5DE5C04B6BB39B70E85DB4854EA49BDD395A6CEEFE64F74D9B81FD7F456CB8DAD556F5B7EFB10305F37D86DE8C934BE6DA375q8H" TargetMode="External"/><Relationship Id="rId25" Type="http://schemas.openxmlformats.org/officeDocument/2006/relationships/hyperlink" Target="consultantplus://offline/ref=1CB399F83DD9D3FF3AE4A5DE5C04B6BB39B70E85DB4E57EC49BFD395A6CEEFE64F74D9B81FD7F456CB8DAD51695B7EFB10305F37D86DE8C934BE6DA375q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B399F83DD9D3FF3AE4A5DE5C04B6BB39B70E85DB4E57EC49BFD395A6CEEFE64F74D9B81FD7F456CB8DAD546E5B7EFB10305F37D86DE8C934BE6DA375q8H" TargetMode="External"/><Relationship Id="rId20" Type="http://schemas.openxmlformats.org/officeDocument/2006/relationships/hyperlink" Target="consultantplus://offline/ref=1CB399F83DD9D3FF3AE4A5DE5C04B6BB39B70E85DB4854EA49BDD395A6CEEFE64F74D9B81FD7F456CB8DAD546D5B7EFB10305F37D86DE8C934BE6DA375q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B399F83DD9D3FF3AE4A5DE5C04B6BB39B70E85DB4B50E849BDD395A6CEEFE64F74D9B81FD7F456CB8DAD54685B7EFB10305F37D86DE8C934BE6DA375q8H" TargetMode="External"/><Relationship Id="rId11" Type="http://schemas.openxmlformats.org/officeDocument/2006/relationships/hyperlink" Target="consultantplus://offline/ref=1CB399F83DD9D3FF3AE4A5DE5C04B6BB39B70E85DB4E57EC49BFD395A6CEEFE64F74D9B81FD7F456CB8DAD556F5B7EFB10305F37D86DE8C934BE6DA375q8H" TargetMode="External"/><Relationship Id="rId24" Type="http://schemas.openxmlformats.org/officeDocument/2006/relationships/hyperlink" Target="consultantplus://offline/ref=1CB399F83DD9D3FF3AE4A5DE5C04B6BB39B70E85DB4E57EC49BFD395A6CEEFE64F74D9B81FD7F456CB8DAD56605B7EFB10305F37D86DE8C934BE6DA375q8H" TargetMode="External"/><Relationship Id="rId5" Type="http://schemas.openxmlformats.org/officeDocument/2006/relationships/hyperlink" Target="consultantplus://offline/ref=1CB399F83DD9D3FF3AE4A5DE5C04B6BB39B70E85DB4E57EC49BFD395A6CEEFE64F74D9B81FD7F456CB8DAD556C5B7EFB10305F37D86DE8C934BE6DA375q8H" TargetMode="External"/><Relationship Id="rId15" Type="http://schemas.openxmlformats.org/officeDocument/2006/relationships/hyperlink" Target="consultantplus://offline/ref=1CB399F83DD9D3FF3AE4A5DE5C04B6BB39B70E85DB4E57EC49BFD395A6CEEFE64F74D9B81FD7F456CB8DAD546F5B7EFB10305F37D86DE8C934BE6DA375q8H" TargetMode="External"/><Relationship Id="rId23" Type="http://schemas.openxmlformats.org/officeDocument/2006/relationships/hyperlink" Target="consultantplus://offline/ref=1CB399F83DD9D3FF3AE4A5DE5C04B6BB39B70E85DB4E57EC49BFD395A6CEEFE64F74D9B81FD7F456CB8DAD566E5B7EFB10305F37D86DE8C934BE6DA375q8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CB399F83DD9D3FF3AE4A5DE5C04B6BB39B70E85DB4857EC4FBDD395A6CEEFE64F74D9B81FD7F456CB8DAC55695B7EFB10305F37D86DE8C934BE6DA375q8H" TargetMode="External"/><Relationship Id="rId19" Type="http://schemas.openxmlformats.org/officeDocument/2006/relationships/hyperlink" Target="consultantplus://offline/ref=1CB399F83DD9D3FF3AE4A5DE5C04B6BB39B70E85DB4854EA49BDD395A6CEEFE64F74D9B81FD7F456CB8DAD54685B7EFB10305F37D86DE8C934BE6DA375q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B399F83DD9D3FF3AE4BBD34A68EAB23ABF568FDF495CB915EFD5C2F99EE9B30F34DFED5C93F951C286F9042D0527AB567B5233C471E8CE72qBH" TargetMode="External"/><Relationship Id="rId14" Type="http://schemas.openxmlformats.org/officeDocument/2006/relationships/hyperlink" Target="consultantplus://offline/ref=1CB399F83DD9D3FF3AE4A5DE5C04B6BB39B70E85DB4854EA49BDD395A6CEEFE64F74D9B81FD7F456CB8DAD556C5B7EFB10305F37D86DE8C934BE6DA375q8H" TargetMode="External"/><Relationship Id="rId22" Type="http://schemas.openxmlformats.org/officeDocument/2006/relationships/hyperlink" Target="consultantplus://offline/ref=1CB399F83DD9D3FF3AE4A5DE5C04B6BB39B70E85DB4E57EC49BFD395A6CEEFE64F74D9B81FD7F456CB8DAD566C5B7EFB10305F37D86DE8C934BE6DA375q8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2627</Words>
  <Characters>14980</Characters>
  <Application>Microsoft Office Word</Application>
  <DocSecurity>0</DocSecurity>
  <Lines>124</Lines>
  <Paragraphs>35</Paragraphs>
  <ScaleCrop>false</ScaleCrop>
  <Company/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GRAF</cp:lastModifiedBy>
  <cp:revision>1</cp:revision>
  <dcterms:created xsi:type="dcterms:W3CDTF">2021-05-12T06:19:00Z</dcterms:created>
  <dcterms:modified xsi:type="dcterms:W3CDTF">2021-05-12T06:20:00Z</dcterms:modified>
</cp:coreProperties>
</file>